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0BF641">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39BD7957">
      <w:pPr>
        <w:spacing w:line="540" w:lineRule="exact"/>
        <w:jc w:val="center"/>
        <w:rPr>
          <w:rFonts w:ascii="方正小标宋_GBK" w:hAnsi="华文中宋" w:eastAsia="方正小标宋_GBK" w:cs="宋体"/>
          <w:b/>
          <w:kern w:val="0"/>
          <w:sz w:val="48"/>
          <w:szCs w:val="48"/>
        </w:rPr>
      </w:pPr>
    </w:p>
    <w:p w14:paraId="0482E5D0">
      <w:pPr>
        <w:spacing w:line="540" w:lineRule="exact"/>
        <w:jc w:val="center"/>
        <w:rPr>
          <w:rFonts w:ascii="方正小标宋_GBK" w:hAnsi="华文中宋" w:eastAsia="方正小标宋_GBK" w:cs="宋体"/>
          <w:b/>
          <w:kern w:val="0"/>
          <w:sz w:val="48"/>
          <w:szCs w:val="48"/>
        </w:rPr>
      </w:pPr>
    </w:p>
    <w:p w14:paraId="5963C3AA">
      <w:pPr>
        <w:spacing w:line="540" w:lineRule="exact"/>
        <w:jc w:val="center"/>
        <w:rPr>
          <w:rFonts w:ascii="方正小标宋_GBK" w:hAnsi="华文中宋" w:eastAsia="方正小标宋_GBK" w:cs="宋体"/>
          <w:b/>
          <w:kern w:val="0"/>
          <w:sz w:val="48"/>
          <w:szCs w:val="48"/>
        </w:rPr>
      </w:pPr>
    </w:p>
    <w:p w14:paraId="4EC5B2B2">
      <w:pPr>
        <w:spacing w:line="540" w:lineRule="exact"/>
        <w:jc w:val="center"/>
        <w:rPr>
          <w:rFonts w:ascii="方正小标宋_GBK" w:hAnsi="华文中宋" w:eastAsia="方正小标宋_GBK" w:cs="宋体"/>
          <w:b/>
          <w:kern w:val="0"/>
          <w:sz w:val="48"/>
          <w:szCs w:val="48"/>
        </w:rPr>
      </w:pPr>
    </w:p>
    <w:p w14:paraId="3D2D2E05">
      <w:pPr>
        <w:spacing w:line="540" w:lineRule="exact"/>
        <w:jc w:val="center"/>
        <w:rPr>
          <w:rFonts w:ascii="方正小标宋_GBK" w:hAnsi="华文中宋" w:eastAsia="方正小标宋_GBK" w:cs="宋体"/>
          <w:b/>
          <w:kern w:val="0"/>
          <w:sz w:val="48"/>
          <w:szCs w:val="48"/>
        </w:rPr>
      </w:pPr>
    </w:p>
    <w:p w14:paraId="33DCD3AE">
      <w:pPr>
        <w:spacing w:line="540" w:lineRule="exact"/>
        <w:jc w:val="center"/>
        <w:rPr>
          <w:rFonts w:ascii="方正小标宋_GBK" w:hAnsi="华文中宋" w:eastAsia="方正小标宋_GBK" w:cs="宋体"/>
          <w:b/>
          <w:kern w:val="0"/>
          <w:sz w:val="48"/>
          <w:szCs w:val="48"/>
        </w:rPr>
      </w:pPr>
    </w:p>
    <w:p w14:paraId="21DF993A">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2D0B2F7F">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61549552">
      <w:pPr>
        <w:spacing w:line="540" w:lineRule="exact"/>
        <w:jc w:val="center"/>
        <w:rPr>
          <w:rFonts w:ascii="华文中宋" w:hAnsi="华文中宋" w:eastAsia="华文中宋" w:cs="宋体"/>
          <w:b/>
          <w:kern w:val="0"/>
          <w:sz w:val="52"/>
          <w:szCs w:val="52"/>
        </w:rPr>
      </w:pPr>
    </w:p>
    <w:p w14:paraId="1E742B99">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517AD8A0">
      <w:pPr>
        <w:spacing w:line="700" w:lineRule="exact"/>
        <w:jc w:val="left"/>
        <w:rPr>
          <w:rFonts w:hint="eastAsia" w:hAnsi="宋体" w:eastAsia="仿宋_GB2312" w:cs="宋体"/>
          <w:kern w:val="0"/>
          <w:sz w:val="36"/>
          <w:szCs w:val="36"/>
        </w:rPr>
      </w:pPr>
    </w:p>
    <w:p w14:paraId="52447446">
      <w:pPr>
        <w:spacing w:line="700" w:lineRule="exact"/>
        <w:jc w:val="left"/>
        <w:rPr>
          <w:rFonts w:hint="eastAsia" w:hAnsi="宋体" w:eastAsia="仿宋_GB2312" w:cs="宋体"/>
          <w:kern w:val="0"/>
          <w:sz w:val="36"/>
          <w:szCs w:val="36"/>
        </w:rPr>
      </w:pPr>
    </w:p>
    <w:p w14:paraId="2FF950F1">
      <w:pPr>
        <w:spacing w:line="700" w:lineRule="exact"/>
        <w:jc w:val="left"/>
        <w:rPr>
          <w:rFonts w:hint="eastAsia" w:hAnsi="宋体" w:eastAsia="仿宋_GB2312" w:cs="宋体"/>
          <w:kern w:val="0"/>
          <w:sz w:val="36"/>
          <w:szCs w:val="36"/>
          <w:lang w:eastAsia="zh-CN"/>
        </w:rPr>
      </w:pPr>
    </w:p>
    <w:p w14:paraId="58B04AF8">
      <w:pPr>
        <w:spacing w:line="700" w:lineRule="exact"/>
        <w:jc w:val="left"/>
        <w:rPr>
          <w:rFonts w:hint="eastAsia" w:hAnsi="宋体" w:eastAsia="仿宋_GB2312" w:cs="宋体"/>
          <w:kern w:val="0"/>
          <w:sz w:val="36"/>
          <w:szCs w:val="36"/>
          <w:lang w:eastAsia="zh-CN"/>
        </w:rPr>
      </w:pPr>
    </w:p>
    <w:p w14:paraId="2D877FC3">
      <w:pPr>
        <w:spacing w:line="700" w:lineRule="exact"/>
        <w:jc w:val="left"/>
        <w:rPr>
          <w:rFonts w:hint="eastAsia" w:hAnsi="宋体" w:eastAsia="仿宋_GB2312" w:cs="宋体"/>
          <w:kern w:val="0"/>
          <w:sz w:val="36"/>
          <w:szCs w:val="36"/>
          <w:lang w:eastAsia="zh-CN"/>
        </w:rPr>
      </w:pPr>
    </w:p>
    <w:p w14:paraId="57A246F6">
      <w:pPr>
        <w:spacing w:line="700" w:lineRule="exact"/>
        <w:jc w:val="left"/>
        <w:rPr>
          <w:rFonts w:hint="eastAsia" w:hAnsi="宋体" w:eastAsia="仿宋_GB2312" w:cs="宋体"/>
          <w:kern w:val="0"/>
          <w:sz w:val="36"/>
          <w:szCs w:val="36"/>
          <w:lang w:eastAsia="zh-CN"/>
        </w:rPr>
      </w:pPr>
    </w:p>
    <w:p w14:paraId="71C784E3">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克州农业技术推广中心</w:t>
      </w:r>
    </w:p>
    <w:p w14:paraId="150961AF">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14:paraId="550382D0">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1977C0F1">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11F92C9C">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农业技术推广中心是事业单位，正县级，隶属于克孜勒苏柯尔克孜自治州农业农村局。克孜勒苏柯尔克孜自治州农业技术推广中心主要职能是：编制本地区农业技术推广工作规划、计划并组织实施；负责新型农业技术推广的引进、试验、示范和推广工作，对适应本地区的农业技术进行试验示范，研究开发，形成可直接用于生产的农业新技术；负责农业技术推广新成果、新技术咨询服务，专业技术培训、宣传普及和和推荐等工作；承担农业部门和上级推广机构下达的农业技术推广任务；参与并检查、指导农业技术推广工作；承担自治区、自治州科技兴农实用技术推广项目；负责全州农业技术推广工作，并受理申报相关农民设施农业培训等科技培训任务；完成自治州人民政府和自治州农办、农业局、科技局交办的工作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农业技术推广中心全额正县级事业单位。隶属于克州农业农村局，单位属于预算编制范围的二级预算单位，无下属单位。下设8站（室），分别为：办公室、推广站、园艺站、化验室、土肥站、植保站、植物检疫站、农业试验站。</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克孜勒苏柯尔克孜自治州农业技术推广中心单位编制数71，实有人数143人，其中：在职74人，退休69人。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val="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全州农作物病虫害发生与防控工作开展情况，主要病虫发生与防控情况。</w:t>
      </w:r>
      <w:r>
        <w:rPr>
          <w:rFonts w:hint="eastAsia" w:ascii="仿宋_GB2312" w:hAnsi="宋体" w:eastAsia="仿宋_GB2312"/>
          <w:b w:val="0"/>
          <w:bCs/>
          <w:sz w:val="32"/>
          <w:szCs w:val="32"/>
          <w:lang w:eastAsia="zh-CN"/>
        </w:rPr>
        <w:t>截至目前</w:t>
      </w:r>
      <w:r>
        <w:rPr>
          <w:rFonts w:hint="eastAsia" w:ascii="仿宋_GB2312" w:hAnsi="宋体" w:eastAsia="仿宋_GB2312"/>
          <w:b w:val="0"/>
          <w:bCs/>
          <w:sz w:val="32"/>
          <w:szCs w:val="32"/>
        </w:rPr>
        <w:t>，全州主要农作物病虫害发生面积114.4万亩，防治面积78.99万亩。全州农作物主要病虫害防控措施，根据我州麦田杂草发生逐年上升的趋势，3月份通知各县市适时安排麦田杂草防除。阿克陶县在4月初购买药剂进行统防统治，面积达到小麦种植面积的50%。阿图什市下派技术人员指导各乡镇防治，乌恰县杂草发生较多的地块进行了局部防治。病虫害监测预警工作开展情况。今年以来，技术干部每周开展1-2次农作物主要病虫草害发生情况的监测调查。人才工作站工作开展情况。由于疫情原因，绿色防控人才工作站今年未能请进专家进行工作指导，也未能派出技术干部去跟班学习。但完成本地技术人员域内培训交流4人次。组建2021年克州农业科技服务队,全力开展技术指导培训。按照习近平总书记“科技人员要把论文写在大地上”的要求，一是制定2021年克州农业科技人员下乡服务行动方案，32名技术干部分配到三县一市开展各类技术指导和培训。项目工作开展情况，2021年克州基层农技推广体系改革与建设补助项目。项目资金500万元，目前为止已经支出263.214万元，支出率达53%。其中，中心承担2021年基层农技推广体系改革与建设补助项目（农业科技示范基地建设项目），项目资金是31.4万元，已经支出23.4万元，8万元用于第三方验收，所以目前支出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2021年农业生产第一批防灾救灾补助项目《农作物病虫害防治工作》。项目资金20万，重点用于小麦病虫害及蝗虫防治，截至目前，已支出20万，支出率100%。</w:t>
      </w:r>
      <w:r>
        <w:rPr>
          <w:rFonts w:hint="eastAsia" w:ascii="仿宋_GB2312" w:hAnsi="宋体" w:eastAsia="仿宋_GB2312"/>
          <w:b w:val="0"/>
          <w:bCs/>
          <w:sz w:val="32"/>
          <w:szCs w:val="32"/>
        </w:rPr>
        <w:cr/>
      </w:r>
      <w:r>
        <w:rPr>
          <w:rFonts w:hint="eastAsia" w:ascii="仿宋_GB2312" w:hAnsi="宋体" w:eastAsia="仿宋_GB2312"/>
          <w:b w:val="0"/>
          <w:bCs/>
          <w:sz w:val="32"/>
          <w:szCs w:val="32"/>
        </w:rPr>
        <w:t>2021年耕地保护与质量提升项目。项目资金15万，截至目前，已全部支出，支出率100%。根据自治区化肥减量增效（耕地保护与质量提升）实施方案的要求，中心土肥站认真开展了耕地保护与质量提升项目工作。</w:t>
      </w:r>
      <w:r>
        <w:rPr>
          <w:rFonts w:hint="eastAsia" w:ascii="仿宋_GB2312" w:hAnsi="宋体" w:eastAsia="仿宋_GB2312"/>
          <w:b w:val="0"/>
          <w:bCs/>
          <w:sz w:val="32"/>
          <w:szCs w:val="32"/>
        </w:rPr>
        <w:cr/>
      </w:r>
      <w:r>
        <w:rPr>
          <w:rFonts w:hint="eastAsia" w:ascii="仿宋_GB2312" w:hAnsi="宋体" w:eastAsia="仿宋_GB2312"/>
          <w:b w:val="0"/>
          <w:bCs/>
          <w:sz w:val="32"/>
          <w:szCs w:val="32"/>
        </w:rPr>
        <w:t>克州盐碱地耐盐品种选育及水肥一体化项目。2020年项目资金50万元，2021年剩余27万元，目前支出21.12万，支出率78%。通过开展耐盐作物品种引进试种示范，利用耐盐植物的脱盐效应，在3至5年内，逐渐将盐碱田改良成作物可耕种的耕地，增加农民收入，2021年在平阿图什市平原林场种植耐盐碱品种碱蓬和田箐120亩地，在阿湖试验基地实施节水灌溉管道铺设，已投入使用。</w:t>
      </w:r>
      <w:r>
        <w:rPr>
          <w:rFonts w:hint="eastAsia" w:ascii="仿宋_GB2312" w:hAnsi="宋体" w:eastAsia="仿宋_GB2312"/>
          <w:b w:val="0"/>
          <w:bCs/>
          <w:sz w:val="32"/>
          <w:szCs w:val="32"/>
        </w:rPr>
        <w:cr/>
      </w:r>
      <w:r>
        <w:rPr>
          <w:rFonts w:hint="eastAsia" w:ascii="仿宋_GB2312" w:hAnsi="宋体" w:eastAsia="仿宋_GB2312"/>
          <w:b w:val="0"/>
          <w:bCs/>
          <w:sz w:val="32"/>
          <w:szCs w:val="32"/>
        </w:rPr>
        <w:t>现代农业产业体系建设。阿湖试验基地集我州农作物新品种、新技术、水肥一体化、新型农药、新型肥料试验、示范、推广及农业技术人员练兵为一体的场所。现代农业产业体系建设主要在阿湖农场实施，2021年，开展小麦、玉米、西甜瓜品种试验示范50亩，开培训班10期，培训农民230人次，培训技术人员45人次。</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农业技术推广中心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农业技术推广中心集体决策制度》和《克州农业技术推广中心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农业技术推广中心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农业技术推广中心合同管理办法》相关规定，克州农业技术推广中心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1,277.85万元，项目支出安排资金98.77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本单位2021年度项目支出98.77万元，涉及项目数量6个，其中：重点项目支出34万元，涉及重点项目数量1个，重点项目支出与部门项目总支出的比率为34.42%。</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2021年度本单位年初批复部门预算资金总额为1143.08万元，年中调增预算总额为241.54万元，调整后全年预算资金总额为1384.62万元。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2021年度本单位部门整体支出资金总额为1376.61万元，预算执行率为99.42%，预算调整率为</w:t>
      </w:r>
      <w:r>
        <w:rPr>
          <w:rFonts w:hint="eastAsia" w:ascii="仿宋_GB2312" w:hAnsi="宋体" w:eastAsia="仿宋_GB2312"/>
          <w:b w:val="0"/>
          <w:bCs/>
          <w:sz w:val="32"/>
          <w:szCs w:val="32"/>
          <w:lang w:val="en-US" w:eastAsia="zh-CN"/>
        </w:rPr>
        <w:t>21.13</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年初政府采购预算数为124.54（单位自己提供）万元，实际政府采购数为0（决算报表一定存在）万元，政府采购执行率为***%。</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3BBBDA79">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2D000BB3">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为加强我单位预算管理、规范财务行为我单位制定了《克州农业技术推广中心内部控制规范》《克州农业技术推广中心项目管理规范》等资金管理制度，已建立制度均健全且有效运行。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2021年度我单位基本支出预算总额为1,277.85万元，其中人员经费1,243.07万元，公用经费34.78万元。实际执行总额为1,277.85万元，预算执行率100%。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3.47万元，比上年减少0.38万元，增加12.47%，主要原因是：本单位车辆使用年限较长，维修费用增加，因此支出随之增加。其中，因公出国（境）费支出0万元；公务用车购置及运行维护费支出3.47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与年初预算数相比情况：一般公共预算“三公”经费支出年初预算数4.4万元，预算执行数为3.47万元，执行率为78.86%，主要原因是：按照厉行节约的要求，2021年缩减公务车运行维护费，因此支出随之减少。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2021年度本单位项目支出预算总额为106.77万元，实际执行资金总额为98.77万元，预算执行率为92.51%。</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92.77万元，实际支出资金84.77万元，预算执行率为91.38%，涉及项目个数5个，专项资金结转8万元，结转的主要原因为：2021年底我单位已经向农业农村局申请聘请第三方对项目进行考核，聘请的第三方还在评选中，暂时未确定进行考核的第三方，未支付聘请第三方的费用，导致资金未支出完毕。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2021年中央农业生产发展资金（基层农技推广改革与建设）项目:全年预算数为31.4万元，预算执行数为23.4万元，预算执行率为74.52%。</w:t>
      </w:r>
      <w:r>
        <w:rPr>
          <w:rFonts w:hint="eastAsia" w:ascii="仿宋_GB2312" w:hAnsi="宋体" w:eastAsia="仿宋_GB2312"/>
          <w:b w:val="0"/>
          <w:bCs/>
          <w:sz w:val="32"/>
          <w:szCs w:val="32"/>
        </w:rPr>
        <w:cr/>
      </w:r>
      <w:r>
        <w:rPr>
          <w:rFonts w:hint="eastAsia" w:ascii="仿宋_GB2312" w:hAnsi="宋体" w:eastAsia="仿宋_GB2312"/>
          <w:b w:val="0"/>
          <w:bCs/>
          <w:sz w:val="32"/>
          <w:szCs w:val="32"/>
        </w:rPr>
        <w:t>　　中央农业资源及生态保护补助资金（耕地保护与质量提升）项目:全年预算数为15万元，预算执行数为15万元，预算执行率为100%。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中央农业生产和水利救灾资金项目:全年预算数为12万元，预算执行数为12万元，预算执行率为100%。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化肥减量增效项目:全年预算数为0.37万元，预算执行数为0.37万元，预算执行率为100%。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为民办实事和第一书记工作经费项目:全年预算数为34万元，预算执行数为34万元，预算执行率为100%。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2021年度预算安排本级财力资金14万元，实际支出资金14万元，预算执行率为100%，涉及项目个数1个，各项目详细执行情况如下：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联建经费项目:全年预算数为14万元，预算执行数为14万元，预算执行率为100%。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3.其他资金预算安排支出管理和使用情况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2021年度预算安排本级财力资金65.30万元，实际支出资金65.30万元，预算执行率为100%，涉及项目个数1个，各项目详细执行情况如下：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援疆资金项目:全年预算数为65.30万元，预算执行数为65.30万元，预算执行率为100%。</w:t>
      </w:r>
    </w:p>
    <w:p w14:paraId="3F01C898">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0CC6A09D">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91.38%。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2021年中央农业生产发展资金（基层农技推广改革与建设）项目的政策依据是《关于提前下达2021年中央农业生产发展资金（项目）部分预算的通知》（克财农（2020）48号）文件。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中央农业资源及生态保护补助资金（耕地保护与质量提升）项目的政策依据是《关于下达2021年中央农业资源及生态保护补助资金的通知》（克财农（2021）15号）文件。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中央农业生产和水利救灾资金项目的政策依据是《关于下达2021年中央农业生产和水利救灾资金预算（第一批）的通知》（克财农（2021）9号）文件。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化肥减量增效项目的政策依据是中央农业资源及生态保护补助资金（耕地保护与质量提升）项目的政策依据是《关于下达2021年中央农业资源及生态保护补助资金的通知》（克财农（2021）15号）文件。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和第一书记工作经费项目的政策依据是《自治区“访民情惠民生聚民心”驻村工作为民办实事工作经费使用管理办法（试行）的通知》（新民办发〔2016〕62号）、《关于拨付2021年自治区“访惠聚”驻村工作经费的通知》（新财预（2021）19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5项专项，总投入共计92.77万元，资金全部到位，实际使用资金84.77万元，专项资金执行率为91.38%。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①制订《克州农业技术推广中心经费使用规范》,为合理合规使用经费提供了有力的制度保障。同时,建立区委组织部项目经费内部管控制度，并严格按要求落实。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成本节约：我单位5个项目成本均未超预算，预算执行率达91.38%。</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我单位有4个项目，项目实施进度已达到100%.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中央农业资源及生态保护补助资金（耕地保护与质量提升）项目：主要用于开展肥料利用率试验3个，采集土样数量94个，采集植株样数量30个，有利于深入推进化肥减量增效，稳步提升耕地质量，加快农业绿色发展，加强项目管理。</w:t>
      </w:r>
      <w:r>
        <w:rPr>
          <w:rFonts w:hint="eastAsia" w:ascii="仿宋_GB2312" w:hAnsi="宋体" w:eastAsia="仿宋_GB2312"/>
          <w:b w:val="0"/>
          <w:bCs/>
          <w:sz w:val="32"/>
          <w:szCs w:val="32"/>
        </w:rPr>
        <w:tab/>
      </w:r>
      <w:r>
        <w:rPr>
          <w:rFonts w:hint="eastAsia" w:ascii="仿宋_GB2312" w:hAnsi="宋体" w:eastAsia="仿宋_GB2312"/>
          <w:b w:val="0"/>
          <w:bCs/>
          <w:sz w:val="32"/>
          <w:szCs w:val="32"/>
        </w:rPr>
        <w:tab/>
      </w:r>
      <w:r>
        <w:rPr>
          <w:rFonts w:hint="eastAsia" w:ascii="仿宋_GB2312" w:hAnsi="宋体" w:eastAsia="仿宋_GB2312"/>
          <w:b w:val="0"/>
          <w:bCs/>
          <w:sz w:val="32"/>
          <w:szCs w:val="32"/>
        </w:rPr>
        <w:cr/>
      </w:r>
      <w:r>
        <w:rPr>
          <w:rFonts w:hint="eastAsia" w:ascii="仿宋_GB2312" w:hAnsi="宋体" w:eastAsia="仿宋_GB2312"/>
          <w:b w:val="0"/>
          <w:bCs/>
          <w:sz w:val="32"/>
          <w:szCs w:val="32"/>
        </w:rPr>
        <w:t>　　中央农业生产和水利救灾资金项目：主要用于农区蝗虫、小麦重大病虫疫情等防控，有利于提高重大病虫疫情灾情发现能力，有效提升重大病虫疫情防控能力。</w:t>
      </w:r>
      <w:r>
        <w:rPr>
          <w:rFonts w:hint="eastAsia" w:ascii="仿宋_GB2312" w:hAnsi="宋体" w:eastAsia="仿宋_GB2312"/>
          <w:b w:val="0"/>
          <w:bCs/>
          <w:sz w:val="32"/>
          <w:szCs w:val="32"/>
        </w:rPr>
        <w:cr/>
      </w:r>
      <w:r>
        <w:rPr>
          <w:rFonts w:hint="eastAsia" w:ascii="仿宋_GB2312" w:hAnsi="宋体" w:eastAsia="仿宋_GB2312"/>
          <w:b w:val="0"/>
          <w:bCs/>
          <w:sz w:val="32"/>
          <w:szCs w:val="32"/>
        </w:rPr>
        <w:t>　　化肥减量增效项目：主要用于开展田间试验2个，其中检测大量元素100%，抽取10%土壤样品化验中微量元素含量。有利于降低环境污染指数，提高耕地质量，降低生产成本。</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和第一书记工作经费：主要用于开展群众工作，有利于加强民族团结，增进民族互信，突出现代文化引领，落实民生建设任务，增加农牧民收入，关心关爱贫困户，低保户，特困群体等特殊家庭，帮助解决生产生活中的实际困难，开展精准扶贫、凝聚人心，建立自生动力的传帮带工作，提升该村基层组织工作能力，改善村委会办公基础条件。</w:t>
      </w:r>
    </w:p>
    <w:p w14:paraId="1A641E59">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39C0C6B3">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本单位2021年初资产合计数为321.66万元，年末资产合计数为341.16万元。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截止本年度固定资产账面净值83.48万元，年末实际在用固定资产83.48万元，固定资产利用率为100%。</w:t>
      </w:r>
    </w:p>
    <w:p w14:paraId="0A83ABD8">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02ED788D">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部门单位整体支出共设置一级指标3个，二级指标7个，三级指标16个，其中已完成三级指标16个，指标完成率为100%。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“引进新品种数量（种）”指标：预期指标值为15种，实际完成指标值为15种，指标完成率为100%。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“新品种引进种植面积（亩）”指标：预期指标值为300亩，实际完成指标值为300亩，指标完成率为100%。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“民族团结活动（次）”指标：预期指标值为5次，实际完成指标值为5次，指标完成率为100%。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“扶贫慰问活动（次）”指标：预期指标值为4次，实际完成指标值为4次，指标完成率为100%。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“新品种推广面积（亩）”指标：预期指标值为2200亩，实际完成指标值为2200亩，指标完成率为100%。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“资金使用合规率”指标：预期指标值为100%，实际完成指标值为100%，指标完成率为100%。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“资金拨付及时率”指标：预期指标值为100%，实际完成指标值为100%，指标完成率为100%。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“人员工资”指标：预期指标值为1099.21万元，实际完成指标值为1099.21万元，指标完成率为100%。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“公用经费”指标：预期指标值为29.88万元，实际完成指标值为29.88万元，指标完成率为100%。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“项目经费”指标：预期指标值为113.30万元，实际完成指标值为113.30万元，指标完成率为100%。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“增加基层组织建设”指标：预期指标值为有效加强，实际完成指标值为有效加强，指标完成率为100%。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“提升农民科学种田的技艺”指标：预期指标值为有效提高，实际完成指标值为有效提高，指标完成率为100%。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“提高农民幸福感和归属感”指标：预期指标值为明显提升，实际完成指标值为明显提升，指标完成率为100%。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“受益工作人员满意度（%）”指标：预期指标值为95%，实际完成指标值为95%，指标完成率为100%。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“受益农民满意度（%）”指标：预期指标值为95%，实际完成指标值为95%，指标完成率为100%。</w:t>
      </w:r>
    </w:p>
    <w:p w14:paraId="67AEBD03">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43F5287D">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6148620D">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48F940B0">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1A3278FB"/>
    <w:rsid w:val="200F4073"/>
    <w:rsid w:val="24B86128"/>
    <w:rsid w:val="39CF7615"/>
    <w:rsid w:val="51C70EA9"/>
    <w:rsid w:val="548F4AA0"/>
    <w:rsid w:val="54F842B6"/>
    <w:rsid w:val="63A104C2"/>
    <w:rsid w:val="656071F2"/>
    <w:rsid w:val="6BF1756B"/>
    <w:rsid w:val="6BF630E2"/>
    <w:rsid w:val="6F5E1AA3"/>
    <w:rsid w:val="7C215C98"/>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11009</Words>
  <Characters>11630</Characters>
  <Lines>2</Lines>
  <Paragraphs>1</Paragraphs>
  <TotalTime>0</TotalTime>
  <ScaleCrop>false</ScaleCrop>
  <LinksUpToDate>false</LinksUpToDate>
  <CharactersWithSpaces>11936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2025-07-31T03:26:36Z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